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2B" w:rsidRDefault="007B152B" w:rsidP="007B152B">
      <w:pPr>
        <w:spacing w:after="0" w:line="540" w:lineRule="atLeast"/>
        <w:jc w:val="center"/>
        <w:textAlignment w:val="baseline"/>
        <w:outlineLvl w:val="0"/>
        <w:rPr>
          <w:rFonts w:ascii="Calibri" w:eastAsia="Times New Roman" w:hAnsi="Calibri" w:cs="Calibri"/>
          <w:color w:val="0A0A0A"/>
          <w:kern w:val="36"/>
          <w:sz w:val="48"/>
          <w:szCs w:val="48"/>
        </w:rPr>
      </w:pPr>
      <w:r w:rsidRPr="007B152B">
        <w:rPr>
          <w:rFonts w:ascii="Calibri" w:eastAsia="Times New Roman" w:hAnsi="Calibri" w:cs="Calibri"/>
          <w:color w:val="0A0A0A"/>
          <w:kern w:val="36"/>
          <w:sz w:val="48"/>
          <w:szCs w:val="48"/>
        </w:rPr>
        <w:t>Criminal Background Check</w:t>
      </w:r>
    </w:p>
    <w:p w:rsidR="007B152B" w:rsidRPr="007B152B" w:rsidRDefault="007B152B" w:rsidP="007B152B">
      <w:pPr>
        <w:spacing w:after="0" w:line="540" w:lineRule="atLeast"/>
        <w:jc w:val="center"/>
        <w:textAlignment w:val="baseline"/>
        <w:outlineLvl w:val="0"/>
        <w:rPr>
          <w:rFonts w:ascii="Calibri" w:eastAsia="Times New Roman" w:hAnsi="Calibri" w:cs="Calibri"/>
          <w:color w:val="0A0A0A"/>
          <w:kern w:val="36"/>
          <w:sz w:val="48"/>
          <w:szCs w:val="48"/>
        </w:rPr>
      </w:pPr>
      <w:bookmarkStart w:id="0" w:name="_GoBack"/>
      <w:bookmarkEnd w:id="0"/>
    </w:p>
    <w:p w:rsidR="007B152B" w:rsidRP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b/>
          <w:bCs/>
          <w:color w:val="0A0A0A"/>
          <w:sz w:val="24"/>
          <w:szCs w:val="24"/>
          <w:bdr w:val="none" w:sz="0" w:space="0" w:color="auto" w:frame="1"/>
        </w:rPr>
        <w:t>Incoming students should initiate a background check only upon directions from the department. Please allow enough time if you have lived out state.</w:t>
      </w:r>
    </w:p>
    <w:p w:rsidR="007B152B" w:rsidRP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 xml:space="preserve">All background checks must be ordered </w:t>
      </w:r>
      <w:r w:rsidRPr="007B152B">
        <w:rPr>
          <w:rFonts w:ascii="Calibri" w:eastAsia="Times New Roman" w:hAnsi="Calibri" w:cs="Calibri"/>
          <w:b/>
          <w:bCs/>
          <w:color w:val="0A0A0A"/>
          <w:sz w:val="24"/>
          <w:szCs w:val="24"/>
          <w:bdr w:val="none" w:sz="0" w:space="0" w:color="auto" w:frame="1"/>
        </w:rPr>
        <w:t>within the designated semester deadlines</w:t>
      </w:r>
      <w:r w:rsidRPr="007B152B">
        <w:rPr>
          <w:rFonts w:ascii="Calibri" w:eastAsia="Times New Roman" w:hAnsi="Calibri" w:cs="Calibri"/>
          <w:color w:val="0A0A0A"/>
          <w:sz w:val="24"/>
          <w:szCs w:val="24"/>
        </w:rPr>
        <w:t>:</w:t>
      </w:r>
    </w:p>
    <w:p w:rsidR="007B152B" w:rsidRPr="007B152B" w:rsidRDefault="007B152B" w:rsidP="007B152B">
      <w:pPr>
        <w:numPr>
          <w:ilvl w:val="0"/>
          <w:numId w:val="1"/>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Fall Admissions: May 15 – July</w:t>
      </w:r>
      <w:r>
        <w:rPr>
          <w:rFonts w:ascii="Calibri" w:eastAsia="Times New Roman" w:hAnsi="Calibri" w:cs="Calibri"/>
          <w:color w:val="0A0A0A"/>
          <w:sz w:val="24"/>
          <w:szCs w:val="24"/>
        </w:rPr>
        <w:t xml:space="preserve"> 31</w:t>
      </w:r>
    </w:p>
    <w:p w:rsidR="007B152B" w:rsidRPr="007B152B" w:rsidRDefault="007B152B" w:rsidP="007B152B">
      <w:pPr>
        <w:numPr>
          <w:ilvl w:val="0"/>
          <w:numId w:val="1"/>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 xml:space="preserve">Spring Admissions: October 1 – December </w:t>
      </w:r>
      <w:r>
        <w:rPr>
          <w:rFonts w:ascii="Calibri" w:eastAsia="Times New Roman" w:hAnsi="Calibri" w:cs="Calibri"/>
          <w:color w:val="0A0A0A"/>
          <w:sz w:val="24"/>
          <w:szCs w:val="24"/>
        </w:rPr>
        <w:t>15</w:t>
      </w:r>
    </w:p>
    <w:p w:rsidR="007B152B" w:rsidRDefault="007B152B" w:rsidP="007B152B">
      <w:pPr>
        <w:spacing w:after="0" w:line="336" w:lineRule="atLeast"/>
        <w:ind w:left="300"/>
        <w:textAlignment w:val="baseline"/>
        <w:rPr>
          <w:rFonts w:ascii="Calibri" w:eastAsia="Times New Roman" w:hAnsi="Calibri" w:cs="Calibri"/>
          <w:color w:val="0A0A0A"/>
          <w:sz w:val="24"/>
          <w:szCs w:val="24"/>
        </w:rPr>
      </w:pPr>
    </w:p>
    <w:p w:rsidR="007B152B" w:rsidRDefault="007B152B" w:rsidP="007B152B">
      <w:pPr>
        <w:spacing w:after="0" w:line="336" w:lineRule="atLeast"/>
        <w:ind w:left="300"/>
        <w:textAlignment w:val="baseline"/>
        <w:rPr>
          <w:rFonts w:ascii="Calibri" w:eastAsia="Times New Roman" w:hAnsi="Calibri" w:cs="Calibri"/>
          <w:color w:val="0A0A0A"/>
          <w:sz w:val="24"/>
          <w:szCs w:val="24"/>
        </w:rPr>
      </w:pPr>
    </w:p>
    <w:p w:rsidR="007B152B" w:rsidRPr="007B152B" w:rsidRDefault="007B152B" w:rsidP="007B152B">
      <w:pPr>
        <w:numPr>
          <w:ilvl w:val="0"/>
          <w:numId w:val="2"/>
        </w:numPr>
        <w:spacing w:after="0"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The background checks are conducted by </w:t>
      </w:r>
      <w:r>
        <w:rPr>
          <w:rFonts w:ascii="Calibri" w:eastAsia="Times New Roman" w:hAnsi="Calibri" w:cs="Calibri"/>
          <w:b/>
          <w:bCs/>
          <w:color w:val="0A0A0A"/>
          <w:sz w:val="24"/>
          <w:szCs w:val="24"/>
          <w:bdr w:val="none" w:sz="0" w:space="0" w:color="auto" w:frame="1"/>
        </w:rPr>
        <w:t xml:space="preserve">Shreveport Police </w:t>
      </w:r>
      <w:proofErr w:type="gramStart"/>
      <w:r>
        <w:rPr>
          <w:rFonts w:ascii="Calibri" w:eastAsia="Times New Roman" w:hAnsi="Calibri" w:cs="Calibri"/>
          <w:b/>
          <w:bCs/>
          <w:color w:val="0A0A0A"/>
          <w:sz w:val="24"/>
          <w:szCs w:val="24"/>
          <w:bdr w:val="none" w:sz="0" w:space="0" w:color="auto" w:frame="1"/>
        </w:rPr>
        <w:t xml:space="preserve">Department, </w:t>
      </w:r>
      <w:r w:rsidRPr="007B152B">
        <w:rPr>
          <w:rFonts w:ascii="Calibri" w:eastAsia="Times New Roman" w:hAnsi="Calibri" w:cs="Calibri"/>
          <w:color w:val="0A0A0A"/>
          <w:sz w:val="24"/>
          <w:szCs w:val="24"/>
        </w:rPr>
        <w:t xml:space="preserve"> a</w:t>
      </w:r>
      <w:proofErr w:type="gramEnd"/>
      <w:r w:rsidRPr="007B152B">
        <w:rPr>
          <w:rFonts w:ascii="Calibri" w:eastAsia="Times New Roman" w:hAnsi="Calibri" w:cs="Calibri"/>
          <w:color w:val="0A0A0A"/>
          <w:sz w:val="24"/>
          <w:szCs w:val="24"/>
        </w:rPr>
        <w:t xml:space="preserve"> firm specializing in background checks for healthcare workers. Employment verification is required by the clinical agencies as part of the background check.</w:t>
      </w:r>
    </w:p>
    <w:p w:rsidR="007B152B" w:rsidRPr="007B152B" w:rsidRDefault="007B152B" w:rsidP="007B152B">
      <w:pPr>
        <w:numPr>
          <w:ilvl w:val="0"/>
          <w:numId w:val="2"/>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Cost of the criminal background chec</w:t>
      </w:r>
      <w:r>
        <w:rPr>
          <w:rFonts w:ascii="Calibri" w:eastAsia="Times New Roman" w:hAnsi="Calibri" w:cs="Calibri"/>
          <w:color w:val="0A0A0A"/>
          <w:sz w:val="24"/>
          <w:szCs w:val="24"/>
        </w:rPr>
        <w:t>k is included in the student’s tuition</w:t>
      </w:r>
    </w:p>
    <w:p w:rsidR="007B152B" w:rsidRPr="007B152B" w:rsidRDefault="007B152B" w:rsidP="007B152B">
      <w:pPr>
        <w:numPr>
          <w:ilvl w:val="0"/>
          <w:numId w:val="2"/>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Instructions for obtaining your background check will be provided to you by the department.</w:t>
      </w:r>
    </w:p>
    <w:p w:rsidR="007B152B" w:rsidRPr="007B152B" w:rsidRDefault="007B152B" w:rsidP="007B152B">
      <w:pPr>
        <w:numPr>
          <w:ilvl w:val="0"/>
          <w:numId w:val="2"/>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 xml:space="preserve">Results of all background checks are reviewed by the </w:t>
      </w:r>
      <w:r>
        <w:rPr>
          <w:rFonts w:ascii="Calibri" w:eastAsia="Times New Roman" w:hAnsi="Calibri" w:cs="Calibri"/>
          <w:color w:val="0A0A0A"/>
          <w:sz w:val="24"/>
          <w:szCs w:val="24"/>
        </w:rPr>
        <w:t>Phlebotomy department.</w:t>
      </w:r>
    </w:p>
    <w:p w:rsidR="007B152B" w:rsidRPr="007B152B" w:rsidRDefault="007B152B" w:rsidP="007B152B">
      <w:pPr>
        <w:spacing w:beforeAutospacing="1" w:after="0" w:afterAutospacing="1" w:line="240" w:lineRule="atLeast"/>
        <w:textAlignment w:val="baseline"/>
        <w:outlineLvl w:val="3"/>
        <w:rPr>
          <w:rFonts w:ascii="Calibri" w:eastAsia="Times New Roman" w:hAnsi="Calibri" w:cs="Calibri"/>
          <w:b/>
          <w:bCs/>
          <w:color w:val="0A0A0A"/>
          <w:sz w:val="24"/>
          <w:szCs w:val="24"/>
        </w:rPr>
      </w:pPr>
      <w:r w:rsidRPr="007B152B">
        <w:rPr>
          <w:rFonts w:ascii="Calibri" w:eastAsia="Times New Roman" w:hAnsi="Calibri" w:cs="Calibri"/>
          <w:b/>
          <w:bCs/>
          <w:color w:val="0A0A0A"/>
          <w:sz w:val="30"/>
          <w:szCs w:val="30"/>
          <w:u w:val="single"/>
          <w:bdr w:val="none" w:sz="0" w:space="0" w:color="auto" w:frame="1"/>
        </w:rPr>
        <w:t>Purpose</w:t>
      </w:r>
    </w:p>
    <w:p w:rsidR="007B152B" w:rsidRP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Community Standards for criminal background checks were developed in conjunction with the to meet clinical agency compliance with Joint Commission on Accreditation of Healthcare Organizations (JCAHO) standards pertaining to human resource management and to comply with state and federal laws. JCAHO requires verification of competency of all individuals who have direct contact with patients or employees; this includes students doing clinical rotations in the facility. Competency extends beyond technical skills to an individual’s criminal history.</w:t>
      </w:r>
    </w:p>
    <w:p w:rsidR="007B152B" w:rsidRPr="007B152B" w:rsidRDefault="007B152B" w:rsidP="007B152B">
      <w:pPr>
        <w:spacing w:beforeAutospacing="1" w:after="0" w:afterAutospacing="1" w:line="240" w:lineRule="atLeast"/>
        <w:textAlignment w:val="baseline"/>
        <w:outlineLvl w:val="3"/>
        <w:rPr>
          <w:rFonts w:ascii="Calibri" w:eastAsia="Times New Roman" w:hAnsi="Calibri" w:cs="Calibri"/>
          <w:b/>
          <w:bCs/>
          <w:color w:val="0A0A0A"/>
          <w:sz w:val="24"/>
          <w:szCs w:val="24"/>
        </w:rPr>
      </w:pPr>
      <w:r w:rsidRPr="007B152B">
        <w:rPr>
          <w:rFonts w:ascii="Calibri" w:eastAsia="Times New Roman" w:hAnsi="Calibri" w:cs="Calibri"/>
          <w:b/>
          <w:bCs/>
          <w:color w:val="0A0A0A"/>
          <w:sz w:val="30"/>
          <w:szCs w:val="30"/>
          <w:u w:val="single"/>
          <w:bdr w:val="none" w:sz="0" w:space="0" w:color="auto" w:frame="1"/>
        </w:rPr>
        <w:t>Implementation</w:t>
      </w:r>
    </w:p>
    <w:p w:rsid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Successful completion of a criminal background check is required for admission and continuation in all Health Sciences Programs. Students will be given specific directions from the program about how to obtain the background check. </w:t>
      </w:r>
    </w:p>
    <w:p w:rsidR="007B152B" w:rsidRP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Background checks will be honored for the duration of the student’s enrollment in the clinical program if the participating student has not had a break in the enrollment of a Health Science class. A break in enrollment is defined as nonattendance of one full semester or more. The above information must be verifiable through the college/school and must be sent to the clinical agency.</w:t>
      </w:r>
    </w:p>
    <w:p w:rsidR="007B152B" w:rsidRPr="007B152B" w:rsidRDefault="007B152B" w:rsidP="007B152B">
      <w:pPr>
        <w:spacing w:beforeAutospacing="1" w:after="0" w:afterAutospacing="1" w:line="240" w:lineRule="atLeast"/>
        <w:textAlignment w:val="baseline"/>
        <w:outlineLvl w:val="3"/>
        <w:rPr>
          <w:rFonts w:ascii="Calibri" w:eastAsia="Times New Roman" w:hAnsi="Calibri" w:cs="Calibri"/>
          <w:b/>
          <w:bCs/>
          <w:color w:val="0A0A0A"/>
          <w:sz w:val="24"/>
          <w:szCs w:val="24"/>
        </w:rPr>
      </w:pPr>
      <w:r w:rsidRPr="007B152B">
        <w:rPr>
          <w:rFonts w:ascii="Calibri" w:eastAsia="Times New Roman" w:hAnsi="Calibri" w:cs="Calibri"/>
          <w:b/>
          <w:bCs/>
          <w:color w:val="0A0A0A"/>
          <w:sz w:val="30"/>
          <w:szCs w:val="30"/>
          <w:u w:val="single"/>
          <w:bdr w:val="none" w:sz="0" w:space="0" w:color="auto" w:frame="1"/>
        </w:rPr>
        <w:t>Criminal Background Check</w:t>
      </w:r>
    </w:p>
    <w:p w:rsidR="007B152B" w:rsidRPr="007B152B" w:rsidRDefault="007B152B" w:rsidP="007B152B">
      <w:pPr>
        <w:spacing w:after="30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lastRenderedPageBreak/>
        <w:t xml:space="preserve">Successful completion of a criminal background check is required for admission and continuation in all Health Sciences Programs. The background checks will include a </w:t>
      </w:r>
      <w:proofErr w:type="gramStart"/>
      <w:r>
        <w:rPr>
          <w:rFonts w:ascii="Calibri" w:eastAsia="Times New Roman" w:hAnsi="Calibri" w:cs="Calibri"/>
          <w:color w:val="0A0A0A"/>
          <w:sz w:val="24"/>
          <w:szCs w:val="24"/>
        </w:rPr>
        <w:t>te</w:t>
      </w:r>
      <w:r w:rsidRPr="007B152B">
        <w:rPr>
          <w:rFonts w:ascii="Calibri" w:eastAsia="Times New Roman" w:hAnsi="Calibri" w:cs="Calibri"/>
          <w:color w:val="0A0A0A"/>
          <w:sz w:val="24"/>
          <w:szCs w:val="24"/>
        </w:rPr>
        <w:t>n year</w:t>
      </w:r>
      <w:proofErr w:type="gramEnd"/>
      <w:r w:rsidRPr="007B152B">
        <w:rPr>
          <w:rFonts w:ascii="Calibri" w:eastAsia="Times New Roman" w:hAnsi="Calibri" w:cs="Calibri"/>
          <w:color w:val="0A0A0A"/>
          <w:sz w:val="24"/>
          <w:szCs w:val="24"/>
        </w:rPr>
        <w:t xml:space="preserve"> multi-county felony and related misdemeanor criminal record search, a two standard seven year employment history references search, a sanction check and an identity verification.</w:t>
      </w:r>
    </w:p>
    <w:p w:rsidR="007B152B" w:rsidRPr="007B152B" w:rsidRDefault="007B152B" w:rsidP="007B152B">
      <w:pPr>
        <w:spacing w:after="30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The following histories will disqualify an individual from consideration for admission because the student would not be eligible for clinical placement:</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Registered sex offenders</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 xml:space="preserve">Health and Human Services – Office of Inspector General list of excluded individuals, U.S. General Services Administration excluded parties list, Employee Misconduct Registry, U.S. Treasury – Office of Foreign Assets Control (OFAC) List of Specially Designated Nationals (SDN), </w:t>
      </w:r>
      <w:r>
        <w:rPr>
          <w:rFonts w:ascii="Calibri" w:eastAsia="Times New Roman" w:hAnsi="Calibri" w:cs="Calibri"/>
          <w:color w:val="0A0A0A"/>
          <w:sz w:val="24"/>
          <w:szCs w:val="24"/>
        </w:rPr>
        <w:t>Louisiana</w:t>
      </w:r>
      <w:r w:rsidRPr="007B152B">
        <w:rPr>
          <w:rFonts w:ascii="Calibri" w:eastAsia="Times New Roman" w:hAnsi="Calibri" w:cs="Calibri"/>
          <w:color w:val="0A0A0A"/>
          <w:sz w:val="24"/>
          <w:szCs w:val="24"/>
        </w:rPr>
        <w:t xml:space="preserve"> Health and Human Services Commission</w:t>
      </w:r>
      <w:r>
        <w:rPr>
          <w:rFonts w:ascii="Calibri" w:eastAsia="Times New Roman" w:hAnsi="Calibri" w:cs="Calibri"/>
          <w:color w:val="0A0A0A"/>
          <w:sz w:val="24"/>
          <w:szCs w:val="24"/>
        </w:rPr>
        <w:t xml:space="preserve">, </w:t>
      </w:r>
      <w:r w:rsidRPr="007B152B">
        <w:rPr>
          <w:rFonts w:ascii="Calibri" w:eastAsia="Times New Roman" w:hAnsi="Calibri" w:cs="Calibri"/>
          <w:color w:val="0A0A0A"/>
          <w:sz w:val="24"/>
          <w:szCs w:val="24"/>
        </w:rPr>
        <w:t>Office of Inspector General (OIG), Exclusion List</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Felony convictions</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Felony deferred adjudications involving crimes against persons (physical or sexual abuse)</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Known or observed abuse or neglect of patients/clients/customers.</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Observed or proven theft</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Convictions of violent acts (misdemeanor or felony)</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Misapplication of fiduciary property or property of a financial institution (Class A misdemeanor or felony)</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Securing execution of a document by deception (Class A misdemeanor or felony)</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Violence in the workplace.</w:t>
      </w:r>
    </w:p>
    <w:p w:rsidR="007B152B" w:rsidRPr="007B152B" w:rsidRDefault="007B152B" w:rsidP="007B152B">
      <w:pPr>
        <w:numPr>
          <w:ilvl w:val="0"/>
          <w:numId w:val="3"/>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Ineligibility for rehire</w:t>
      </w:r>
    </w:p>
    <w:p w:rsidR="007B152B" w:rsidRPr="007B152B" w:rsidRDefault="007B152B" w:rsidP="007B152B">
      <w:pPr>
        <w:spacing w:after="0" w:line="240" w:lineRule="auto"/>
        <w:textAlignment w:val="baseline"/>
        <w:rPr>
          <w:rFonts w:ascii="Calibri" w:eastAsia="Times New Roman" w:hAnsi="Calibri" w:cs="Calibri"/>
          <w:color w:val="0A0A0A"/>
          <w:sz w:val="24"/>
          <w:szCs w:val="24"/>
        </w:rPr>
      </w:pPr>
      <w:r w:rsidRPr="007B152B">
        <w:rPr>
          <w:rFonts w:ascii="Calibri" w:eastAsia="Times New Roman" w:hAnsi="Calibri" w:cs="Calibri"/>
          <w:b/>
          <w:bCs/>
          <w:color w:val="0A0A0A"/>
          <w:sz w:val="24"/>
          <w:szCs w:val="24"/>
          <w:bdr w:val="none" w:sz="0" w:space="0" w:color="auto" w:frame="1"/>
        </w:rPr>
        <w:t>For students accepted to a clinical program with access to a licensing/registry body review process:</w:t>
      </w:r>
    </w:p>
    <w:p w:rsidR="007B152B" w:rsidRPr="007B152B" w:rsidRDefault="007B152B" w:rsidP="007B152B">
      <w:pPr>
        <w:numPr>
          <w:ilvl w:val="0"/>
          <w:numId w:val="4"/>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If an individual does not meet one or more of the aforementioned standards, she/he may pursue a declaratory order process with her/his licensing/registry body. If the licensing/registry body approves the individual to take the licensing/credentialing exam, the individual may participate in the clinical rotation.</w:t>
      </w:r>
    </w:p>
    <w:p w:rsidR="007B152B" w:rsidRPr="007B152B" w:rsidRDefault="007B152B" w:rsidP="007B152B">
      <w:pPr>
        <w:spacing w:beforeAutospacing="1" w:after="0" w:afterAutospacing="1" w:line="240" w:lineRule="atLeast"/>
        <w:textAlignment w:val="baseline"/>
        <w:outlineLvl w:val="3"/>
        <w:rPr>
          <w:rFonts w:ascii="Calibri" w:eastAsia="Times New Roman" w:hAnsi="Calibri" w:cs="Calibri"/>
          <w:b/>
          <w:bCs/>
          <w:color w:val="0A0A0A"/>
          <w:sz w:val="24"/>
          <w:szCs w:val="24"/>
        </w:rPr>
      </w:pPr>
      <w:r w:rsidRPr="007B152B">
        <w:rPr>
          <w:rFonts w:ascii="Calibri" w:eastAsia="Times New Roman" w:hAnsi="Calibri" w:cs="Calibri"/>
          <w:b/>
          <w:bCs/>
          <w:color w:val="0A0A0A"/>
          <w:sz w:val="30"/>
          <w:szCs w:val="30"/>
          <w:u w:val="single"/>
          <w:bdr w:val="none" w:sz="0" w:space="0" w:color="auto" w:frame="1"/>
        </w:rPr>
        <w:t>Disclaimers</w:t>
      </w:r>
    </w:p>
    <w:p w:rsidR="007B152B" w:rsidRPr="007B152B" w:rsidRDefault="007B152B" w:rsidP="007B152B">
      <w:pPr>
        <w:numPr>
          <w:ilvl w:val="0"/>
          <w:numId w:val="5"/>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Successful completion of a criminal background check for a Health Sciences Program does not ensure eligibility for licensure or future employment.</w:t>
      </w:r>
    </w:p>
    <w:p w:rsidR="007B152B" w:rsidRPr="007B152B" w:rsidRDefault="007B152B" w:rsidP="007B152B">
      <w:pPr>
        <w:numPr>
          <w:ilvl w:val="0"/>
          <w:numId w:val="5"/>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lastRenderedPageBreak/>
        <w:t>Clinical agencies can establish more stringent standards, if they so desire, to meet regulatory requirements for their facility.</w:t>
      </w:r>
    </w:p>
    <w:p w:rsidR="007B152B" w:rsidRPr="007B152B" w:rsidRDefault="007B152B" w:rsidP="007B152B">
      <w:pPr>
        <w:numPr>
          <w:ilvl w:val="0"/>
          <w:numId w:val="5"/>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Clinical agencies can conduct additional background checks at their discretion.</w:t>
      </w:r>
    </w:p>
    <w:p w:rsidR="007B152B" w:rsidRPr="007B152B" w:rsidRDefault="007B152B" w:rsidP="007B152B">
      <w:pPr>
        <w:numPr>
          <w:ilvl w:val="0"/>
          <w:numId w:val="5"/>
        </w:numPr>
        <w:spacing w:after="105" w:line="336" w:lineRule="atLeast"/>
        <w:ind w:left="300"/>
        <w:textAlignment w:val="baseline"/>
        <w:rPr>
          <w:rFonts w:ascii="Calibri" w:eastAsia="Times New Roman" w:hAnsi="Calibri" w:cs="Calibri"/>
          <w:color w:val="0A0A0A"/>
          <w:sz w:val="24"/>
          <w:szCs w:val="24"/>
        </w:rPr>
      </w:pPr>
      <w:r w:rsidRPr="007B152B">
        <w:rPr>
          <w:rFonts w:ascii="Calibri" w:eastAsia="Times New Roman" w:hAnsi="Calibri" w:cs="Calibri"/>
          <w:color w:val="0A0A0A"/>
          <w:sz w:val="24"/>
          <w:szCs w:val="24"/>
        </w:rPr>
        <w:t>If a student is found to be ineligible for clinical placement any time during the program, the student is unable to meet clinical learning objectives and will be withdrawn pending resolution of the situation.</w:t>
      </w:r>
    </w:p>
    <w:p w:rsidR="007B152B" w:rsidRDefault="007B152B"/>
    <w:sectPr w:rsidR="007B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79BB"/>
    <w:multiLevelType w:val="multilevel"/>
    <w:tmpl w:val="9F1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909EE"/>
    <w:multiLevelType w:val="multilevel"/>
    <w:tmpl w:val="3B5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E2186"/>
    <w:multiLevelType w:val="multilevel"/>
    <w:tmpl w:val="A6B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40B12"/>
    <w:multiLevelType w:val="multilevel"/>
    <w:tmpl w:val="E5F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265DA"/>
    <w:multiLevelType w:val="multilevel"/>
    <w:tmpl w:val="2D64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2B"/>
    <w:rsid w:val="007B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D484"/>
  <w15:chartTrackingRefBased/>
  <w15:docId w15:val="{23A3A393-D160-45DC-A9C4-5D8365EE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969644">
      <w:bodyDiv w:val="1"/>
      <w:marLeft w:val="0"/>
      <w:marRight w:val="0"/>
      <w:marTop w:val="0"/>
      <w:marBottom w:val="0"/>
      <w:divBdr>
        <w:top w:val="none" w:sz="0" w:space="0" w:color="auto"/>
        <w:left w:val="none" w:sz="0" w:space="0" w:color="auto"/>
        <w:bottom w:val="none" w:sz="0" w:space="0" w:color="auto"/>
        <w:right w:val="none" w:sz="0" w:space="0" w:color="auto"/>
      </w:divBdr>
      <w:divsChild>
        <w:div w:id="814493981">
          <w:marLeft w:val="0"/>
          <w:marRight w:val="0"/>
          <w:marTop w:val="0"/>
          <w:marBottom w:val="0"/>
          <w:divBdr>
            <w:top w:val="none" w:sz="0" w:space="0" w:color="auto"/>
            <w:left w:val="none" w:sz="0" w:space="0" w:color="auto"/>
            <w:bottom w:val="none" w:sz="0" w:space="0" w:color="auto"/>
            <w:right w:val="none" w:sz="0" w:space="0" w:color="auto"/>
          </w:divBdr>
          <w:divsChild>
            <w:div w:id="216012656">
              <w:marLeft w:val="0"/>
              <w:marRight w:val="0"/>
              <w:marTop w:val="0"/>
              <w:marBottom w:val="0"/>
              <w:divBdr>
                <w:top w:val="none" w:sz="0" w:space="0" w:color="auto"/>
                <w:left w:val="none" w:sz="0" w:space="0" w:color="auto"/>
                <w:bottom w:val="none" w:sz="0" w:space="0" w:color="auto"/>
                <w:right w:val="none" w:sz="0" w:space="0" w:color="auto"/>
              </w:divBdr>
            </w:div>
          </w:divsChild>
        </w:div>
        <w:div w:id="2078429301">
          <w:marLeft w:val="0"/>
          <w:marRight w:val="0"/>
          <w:marTop w:val="0"/>
          <w:marBottom w:val="0"/>
          <w:divBdr>
            <w:top w:val="none" w:sz="0" w:space="0" w:color="auto"/>
            <w:left w:val="none" w:sz="0" w:space="0" w:color="auto"/>
            <w:bottom w:val="none" w:sz="0" w:space="0" w:color="auto"/>
            <w:right w:val="none" w:sz="0" w:space="0" w:color="auto"/>
          </w:divBdr>
          <w:divsChild>
            <w:div w:id="768963815">
              <w:marLeft w:val="0"/>
              <w:marRight w:val="0"/>
              <w:marTop w:val="0"/>
              <w:marBottom w:val="0"/>
              <w:divBdr>
                <w:top w:val="none" w:sz="0" w:space="0" w:color="auto"/>
                <w:left w:val="none" w:sz="0" w:space="0" w:color="auto"/>
                <w:bottom w:val="none" w:sz="0" w:space="0" w:color="auto"/>
                <w:right w:val="none" w:sz="0" w:space="0" w:color="auto"/>
              </w:divBdr>
            </w:div>
          </w:divsChild>
        </w:div>
        <w:div w:id="1982153413">
          <w:marLeft w:val="0"/>
          <w:marRight w:val="0"/>
          <w:marTop w:val="0"/>
          <w:marBottom w:val="0"/>
          <w:divBdr>
            <w:top w:val="none" w:sz="0" w:space="0" w:color="auto"/>
            <w:left w:val="none" w:sz="0" w:space="0" w:color="auto"/>
            <w:bottom w:val="none" w:sz="0" w:space="0" w:color="auto"/>
            <w:right w:val="none" w:sz="0" w:space="0" w:color="auto"/>
          </w:divBdr>
          <w:divsChild>
            <w:div w:id="107286879">
              <w:marLeft w:val="0"/>
              <w:marRight w:val="0"/>
              <w:marTop w:val="0"/>
              <w:marBottom w:val="0"/>
              <w:divBdr>
                <w:top w:val="none" w:sz="0" w:space="0" w:color="auto"/>
                <w:left w:val="none" w:sz="0" w:space="0" w:color="auto"/>
                <w:bottom w:val="none" w:sz="0" w:space="0" w:color="auto"/>
                <w:right w:val="none" w:sz="0" w:space="0" w:color="auto"/>
              </w:divBdr>
            </w:div>
          </w:divsChild>
        </w:div>
        <w:div w:id="1781144668">
          <w:marLeft w:val="0"/>
          <w:marRight w:val="0"/>
          <w:marTop w:val="0"/>
          <w:marBottom w:val="0"/>
          <w:divBdr>
            <w:top w:val="none" w:sz="0" w:space="0" w:color="auto"/>
            <w:left w:val="none" w:sz="0" w:space="0" w:color="auto"/>
            <w:bottom w:val="none" w:sz="0" w:space="0" w:color="auto"/>
            <w:right w:val="none" w:sz="0" w:space="0" w:color="auto"/>
          </w:divBdr>
          <w:divsChild>
            <w:div w:id="742337161">
              <w:marLeft w:val="0"/>
              <w:marRight w:val="0"/>
              <w:marTop w:val="0"/>
              <w:marBottom w:val="0"/>
              <w:divBdr>
                <w:top w:val="none" w:sz="0" w:space="0" w:color="auto"/>
                <w:left w:val="none" w:sz="0" w:space="0" w:color="auto"/>
                <w:bottom w:val="none" w:sz="0" w:space="0" w:color="auto"/>
                <w:right w:val="none" w:sz="0" w:space="0" w:color="auto"/>
              </w:divBdr>
            </w:div>
          </w:divsChild>
        </w:div>
        <w:div w:id="168756799">
          <w:marLeft w:val="0"/>
          <w:marRight w:val="0"/>
          <w:marTop w:val="0"/>
          <w:marBottom w:val="0"/>
          <w:divBdr>
            <w:top w:val="none" w:sz="0" w:space="0" w:color="auto"/>
            <w:left w:val="none" w:sz="0" w:space="0" w:color="auto"/>
            <w:bottom w:val="none" w:sz="0" w:space="0" w:color="auto"/>
            <w:right w:val="none" w:sz="0" w:space="0" w:color="auto"/>
          </w:divBdr>
          <w:divsChild>
            <w:div w:id="2011565834">
              <w:marLeft w:val="0"/>
              <w:marRight w:val="0"/>
              <w:marTop w:val="0"/>
              <w:marBottom w:val="0"/>
              <w:divBdr>
                <w:top w:val="none" w:sz="0" w:space="0" w:color="auto"/>
                <w:left w:val="none" w:sz="0" w:space="0" w:color="auto"/>
                <w:bottom w:val="none" w:sz="0" w:space="0" w:color="auto"/>
                <w:right w:val="none" w:sz="0" w:space="0" w:color="auto"/>
              </w:divBdr>
            </w:div>
          </w:divsChild>
        </w:div>
        <w:div w:id="913390268">
          <w:marLeft w:val="0"/>
          <w:marRight w:val="0"/>
          <w:marTop w:val="0"/>
          <w:marBottom w:val="0"/>
          <w:divBdr>
            <w:top w:val="none" w:sz="0" w:space="0" w:color="auto"/>
            <w:left w:val="none" w:sz="0" w:space="0" w:color="auto"/>
            <w:bottom w:val="none" w:sz="0" w:space="0" w:color="auto"/>
            <w:right w:val="none" w:sz="0" w:space="0" w:color="auto"/>
          </w:divBdr>
          <w:divsChild>
            <w:div w:id="1814758662">
              <w:marLeft w:val="0"/>
              <w:marRight w:val="0"/>
              <w:marTop w:val="0"/>
              <w:marBottom w:val="0"/>
              <w:divBdr>
                <w:top w:val="none" w:sz="0" w:space="0" w:color="auto"/>
                <w:left w:val="none" w:sz="0" w:space="0" w:color="auto"/>
                <w:bottom w:val="none" w:sz="0" w:space="0" w:color="auto"/>
                <w:right w:val="none" w:sz="0" w:space="0" w:color="auto"/>
              </w:divBdr>
            </w:div>
          </w:divsChild>
        </w:div>
        <w:div w:id="522977672">
          <w:marLeft w:val="0"/>
          <w:marRight w:val="0"/>
          <w:marTop w:val="0"/>
          <w:marBottom w:val="0"/>
          <w:divBdr>
            <w:top w:val="none" w:sz="0" w:space="0" w:color="auto"/>
            <w:left w:val="none" w:sz="0" w:space="0" w:color="auto"/>
            <w:bottom w:val="none" w:sz="0" w:space="0" w:color="auto"/>
            <w:right w:val="none" w:sz="0" w:space="0" w:color="auto"/>
          </w:divBdr>
          <w:divsChild>
            <w:div w:id="2563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Patricia Brown</cp:lastModifiedBy>
  <cp:revision>1</cp:revision>
  <dcterms:created xsi:type="dcterms:W3CDTF">2024-08-08T20:55:00Z</dcterms:created>
  <dcterms:modified xsi:type="dcterms:W3CDTF">2024-08-08T21:02:00Z</dcterms:modified>
</cp:coreProperties>
</file>