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4E" w:rsidRPr="00B1514E" w:rsidRDefault="00B1514E" w:rsidP="00B1514E">
      <w:pPr>
        <w:pStyle w:val="NoSpacing"/>
        <w:jc w:val="center"/>
        <w:rPr>
          <w:b/>
          <w:sz w:val="32"/>
          <w:szCs w:val="32"/>
        </w:rPr>
      </w:pPr>
      <w:r w:rsidRPr="00B1514E">
        <w:rPr>
          <w:b/>
          <w:sz w:val="32"/>
          <w:szCs w:val="32"/>
        </w:rPr>
        <w:t>Southern University at Shreveport</w:t>
      </w:r>
    </w:p>
    <w:p w:rsidR="00B1514E" w:rsidRPr="00B1514E" w:rsidRDefault="00B1514E" w:rsidP="00B1514E">
      <w:pPr>
        <w:pStyle w:val="NoSpacing"/>
        <w:jc w:val="center"/>
        <w:rPr>
          <w:b/>
          <w:sz w:val="32"/>
          <w:szCs w:val="32"/>
        </w:rPr>
      </w:pPr>
      <w:r w:rsidRPr="00B1514E">
        <w:rPr>
          <w:b/>
          <w:sz w:val="32"/>
          <w:szCs w:val="32"/>
        </w:rPr>
        <w:t>Medical Lab Tech/Phlebotomy</w:t>
      </w:r>
    </w:p>
    <w:p w:rsidR="00EB7474" w:rsidRPr="00B1514E" w:rsidRDefault="00B1514E" w:rsidP="00B1514E">
      <w:pPr>
        <w:pStyle w:val="NoSpacing"/>
        <w:jc w:val="center"/>
        <w:rPr>
          <w:b/>
          <w:sz w:val="24"/>
          <w:szCs w:val="24"/>
        </w:rPr>
      </w:pPr>
      <w:r w:rsidRPr="00B1514E">
        <w:rPr>
          <w:b/>
          <w:sz w:val="24"/>
          <w:szCs w:val="24"/>
        </w:rPr>
        <w:t xml:space="preserve">Allied </w:t>
      </w:r>
      <w:r w:rsidRPr="00B1514E">
        <w:rPr>
          <w:b/>
          <w:sz w:val="24"/>
          <w:szCs w:val="24"/>
        </w:rPr>
        <w:t>Health Sciences/Nursing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right="289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Health Data Form / Physical Exam for MLT/</w:t>
      </w:r>
      <w:r>
        <w:rPr>
          <w:b/>
          <w:color w:val="000000"/>
          <w:sz w:val="24"/>
          <w:szCs w:val="24"/>
        </w:rPr>
        <w:t xml:space="preserve">Phlebotomy 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7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z w:val="18"/>
          <w:szCs w:val="18"/>
        </w:rPr>
        <w:t xml:space="preserve">ATE OF EXAM MUST BE WITHIN </w:t>
      </w:r>
      <w:r>
        <w:rPr>
          <w:b/>
          <w:color w:val="000000"/>
          <w:sz w:val="24"/>
          <w:szCs w:val="24"/>
        </w:rPr>
        <w:t xml:space="preserve">12 </w:t>
      </w:r>
      <w:r>
        <w:rPr>
          <w:b/>
          <w:color w:val="000000"/>
          <w:sz w:val="18"/>
          <w:szCs w:val="18"/>
        </w:rPr>
        <w:t>MONTHS OF STARTING PROGRAM</w:t>
      </w:r>
      <w:r>
        <w:rPr>
          <w:b/>
          <w:color w:val="000000"/>
          <w:sz w:val="24"/>
          <w:szCs w:val="24"/>
        </w:rPr>
        <w:t xml:space="preserve">. </w:t>
      </w:r>
    </w:p>
    <w:tbl>
      <w:tblPr>
        <w:tblStyle w:val="a"/>
        <w:tblW w:w="1130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63"/>
        <w:gridCol w:w="1725"/>
        <w:gridCol w:w="726"/>
        <w:gridCol w:w="736"/>
        <w:gridCol w:w="3448"/>
      </w:tblGrid>
      <w:tr w:rsidR="00EB7474">
        <w:trPr>
          <w:trHeight w:val="302"/>
        </w:trPr>
        <w:tc>
          <w:tcPr>
            <w:tcW w:w="1130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18"/>
                <w:szCs w:val="18"/>
                <w:shd w:val="clear" w:color="auto" w:fill="CCCC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CCCCCC"/>
              </w:rPr>
              <w:t>Applicant information:</w:t>
            </w:r>
          </w:p>
        </w:tc>
      </w:tr>
      <w:tr w:rsidR="00EB7474">
        <w:trPr>
          <w:trHeight w:val="47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Last Name 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First Name 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MI </w:t>
            </w:r>
          </w:p>
        </w:tc>
        <w:tc>
          <w:tcPr>
            <w:tcW w:w="41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Maiden</w:t>
            </w:r>
          </w:p>
        </w:tc>
      </w:tr>
      <w:tr w:rsidR="00EB7474">
        <w:trPr>
          <w:trHeight w:val="448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Address Apt.# 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City 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State </w:t>
            </w:r>
          </w:p>
        </w:tc>
        <w:tc>
          <w:tcPr>
            <w:tcW w:w="3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Zip</w:t>
            </w:r>
          </w:p>
        </w:tc>
      </w:tr>
      <w:tr w:rsidR="00EB7474">
        <w:trPr>
          <w:trHeight w:val="421"/>
        </w:trPr>
        <w:tc>
          <w:tcPr>
            <w:tcW w:w="46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SUSLA </w:t>
            </w:r>
            <w:r>
              <w:rPr>
                <w:color w:val="000000"/>
                <w:sz w:val="15"/>
                <w:szCs w:val="15"/>
              </w:rPr>
              <w:t xml:space="preserve"> E-mail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6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SUSLA </w:t>
            </w:r>
            <w:r>
              <w:rPr>
                <w:color w:val="000000"/>
                <w:sz w:val="15"/>
                <w:szCs w:val="15"/>
              </w:rPr>
              <w:t xml:space="preserve"> Student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ID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86" w:hanging="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Certain minimum physical abilities and characteristics are required in health sciences professions. See below for </w:t>
      </w:r>
      <w:proofErr w:type="gramStart"/>
      <w:r>
        <w:rPr>
          <w:b/>
          <w:color w:val="000000"/>
          <w:sz w:val="18"/>
          <w:szCs w:val="18"/>
        </w:rPr>
        <w:t>specific  requirements</w:t>
      </w:r>
      <w:proofErr w:type="gramEnd"/>
      <w:r>
        <w:rPr>
          <w:b/>
          <w:color w:val="000000"/>
          <w:sz w:val="18"/>
          <w:szCs w:val="18"/>
        </w:rPr>
        <w:t xml:space="preserve">. Are you able to meet the minimum technical skills standards for the program to which you are applying? 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Yes No 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9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If no, explain: </w:t>
      </w:r>
    </w:p>
    <w:tbl>
      <w:tblPr>
        <w:tblStyle w:val="a0"/>
        <w:tblW w:w="1130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09"/>
      </w:tblGrid>
      <w:tr w:rsidR="00EB7474">
        <w:trPr>
          <w:trHeight w:val="542"/>
        </w:trPr>
        <w:tc>
          <w:tcPr>
            <w:tcW w:w="1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Signature Date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The following must be completed by a physician, physician’s assistant or nurse practitioner: </w:t>
      </w:r>
    </w:p>
    <w:tbl>
      <w:tblPr>
        <w:tblStyle w:val="a1"/>
        <w:tblW w:w="11260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1"/>
        <w:gridCol w:w="2465"/>
        <w:gridCol w:w="1073"/>
        <w:gridCol w:w="1104"/>
        <w:gridCol w:w="603"/>
        <w:gridCol w:w="1592"/>
        <w:gridCol w:w="1982"/>
      </w:tblGrid>
      <w:tr w:rsidR="00EB7474">
        <w:trPr>
          <w:trHeight w:val="302"/>
        </w:trPr>
        <w:tc>
          <w:tcPr>
            <w:tcW w:w="59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8"/>
                <w:szCs w:val="18"/>
                <w:shd w:val="clear" w:color="auto" w:fill="CCCC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CCCCCC"/>
              </w:rPr>
              <w:t xml:space="preserve">General Information: </w:t>
            </w:r>
          </w:p>
        </w:tc>
        <w:tc>
          <w:tcPr>
            <w:tcW w:w="17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Date of Exam:</w:t>
            </w:r>
          </w:p>
        </w:tc>
        <w:tc>
          <w:tcPr>
            <w:tcW w:w="35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EB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EB7474">
        <w:trPr>
          <w:trHeight w:val="435"/>
        </w:trPr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Gender: Male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4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Female</w:t>
            </w:r>
          </w:p>
        </w:tc>
        <w:tc>
          <w:tcPr>
            <w:tcW w:w="2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Height (inches) </w:t>
            </w:r>
          </w:p>
        </w:tc>
        <w:tc>
          <w:tcPr>
            <w:tcW w:w="21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Weight (</w:t>
            </w:r>
            <w:proofErr w:type="spellStart"/>
            <w:r>
              <w:rPr>
                <w:color w:val="000000"/>
                <w:sz w:val="15"/>
                <w:szCs w:val="15"/>
              </w:rPr>
              <w:t>lbs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) </w:t>
            </w:r>
          </w:p>
        </w:tc>
        <w:tc>
          <w:tcPr>
            <w:tcW w:w="2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Blood Pressure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Pulse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1317" w:type="dxa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  <w:gridCol w:w="2753"/>
        <w:gridCol w:w="2754"/>
        <w:gridCol w:w="3163"/>
      </w:tblGrid>
      <w:tr w:rsidR="00EB7474">
        <w:trPr>
          <w:trHeight w:val="302"/>
        </w:trPr>
        <w:tc>
          <w:tcPr>
            <w:tcW w:w="113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18"/>
                <w:szCs w:val="18"/>
                <w:shd w:val="clear" w:color="auto" w:fill="CCCC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CCCCCC"/>
              </w:rPr>
              <w:t>Identify any problems in the following:</w:t>
            </w:r>
          </w:p>
        </w:tc>
      </w:tr>
      <w:tr w:rsidR="00EB7474">
        <w:trPr>
          <w:trHeight w:val="297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Head, ears, nose, throat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Genitourinary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  <w:tr w:rsidR="00EB7474">
        <w:trPr>
          <w:trHeight w:val="298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Respiratory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Musculoskeletal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  <w:tr w:rsidR="00EB7474">
        <w:trPr>
          <w:trHeight w:val="297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Cardiovascular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Metabolic/Endocrine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  <w:tr w:rsidR="00EB7474">
        <w:trPr>
          <w:trHeight w:val="297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Gastrointestinal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Neurological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  <w:tr w:rsidR="00EB7474">
        <w:trPr>
          <w:trHeight w:val="298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Hernia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Skin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  <w:tr w:rsidR="00EB7474">
        <w:trPr>
          <w:trHeight w:val="297"/>
        </w:trPr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Eyes </w:t>
            </w:r>
          </w:p>
        </w:tc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Yes or No </w:t>
            </w:r>
          </w:p>
        </w:tc>
        <w:tc>
          <w:tcPr>
            <w:tcW w:w="2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Psychiatric/Emotional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Yes or No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 have reviewed the Technical Standards below for the Phlebotomy program. </w:t>
      </w:r>
      <w:r>
        <w:rPr>
          <w:color w:val="000000"/>
          <w:sz w:val="18"/>
          <w:szCs w:val="18"/>
        </w:rPr>
        <w:t xml:space="preserve">Yes No 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8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If problems are present, would they create a limitation in health care delivery? </w:t>
      </w:r>
      <w:r>
        <w:rPr>
          <w:color w:val="000000"/>
          <w:sz w:val="18"/>
          <w:szCs w:val="18"/>
        </w:rPr>
        <w:t>Yes No</w:t>
      </w:r>
    </w:p>
    <w:p w:rsidR="00B1514E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86"/>
        <w:rPr>
          <w:color w:val="000000"/>
          <w:sz w:val="18"/>
          <w:szCs w:val="18"/>
        </w:rPr>
      </w:pPr>
    </w:p>
    <w:p w:rsidR="00B1514E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86"/>
        <w:rPr>
          <w:color w:val="000000"/>
          <w:sz w:val="18"/>
          <w:szCs w:val="18"/>
        </w:rPr>
      </w:pPr>
    </w:p>
    <w:p w:rsidR="00B1514E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86"/>
        <w:rPr>
          <w:color w:val="000000"/>
          <w:sz w:val="18"/>
          <w:szCs w:val="18"/>
        </w:rPr>
      </w:pPr>
      <w:bookmarkStart w:id="0" w:name="_GoBack"/>
      <w:bookmarkEnd w:id="0"/>
    </w:p>
    <w:tbl>
      <w:tblPr>
        <w:tblStyle w:val="a3"/>
        <w:tblW w:w="11335" w:type="dxa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5"/>
        <w:gridCol w:w="7920"/>
      </w:tblGrid>
      <w:tr w:rsidR="00EB7474">
        <w:trPr>
          <w:trHeight w:val="423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643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 xml:space="preserve">Essential Function Category </w:t>
            </w:r>
            <w:proofErr w:type="gramStart"/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 xml:space="preserve">&amp;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Definition</w:t>
            </w:r>
            <w:proofErr w:type="gramEnd"/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Examples of Essential Functions and Technical Standards for Laboratory Professionals</w:t>
            </w:r>
          </w:p>
        </w:tc>
      </w:tr>
      <w:tr w:rsidR="00EB7474">
        <w:trPr>
          <w:trHeight w:val="1113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3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Observational </w:t>
            </w:r>
            <w:r>
              <w:rPr>
                <w:color w:val="000000"/>
                <w:sz w:val="15"/>
                <w:szCs w:val="15"/>
              </w:rPr>
              <w:t xml:space="preserve">- Ability to </w:t>
            </w:r>
            <w:proofErr w:type="gramStart"/>
            <w:r>
              <w:rPr>
                <w:color w:val="000000"/>
                <w:sz w:val="15"/>
                <w:szCs w:val="15"/>
              </w:rPr>
              <w:t>participate  actively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in all demonstrations,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8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laboratory activities and clinical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experiences. Such observation and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4" w:right="276" w:firstLine="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information requires functional use </w:t>
            </w:r>
            <w:proofErr w:type="gramStart"/>
            <w:r>
              <w:rPr>
                <w:color w:val="000000"/>
                <w:sz w:val="15"/>
                <w:szCs w:val="15"/>
              </w:rPr>
              <w:t>of  visual</w:t>
            </w:r>
            <w:proofErr w:type="gramEnd"/>
            <w:r>
              <w:rPr>
                <w:color w:val="000000"/>
                <w:sz w:val="15"/>
                <w:szCs w:val="15"/>
              </w:rPr>
              <w:t>, auditory and tactile methods.</w:t>
            </w: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64" w:right="109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Observe laboratory demonstrations in which biological materials (i.e., body fluids, culture materials, </w:t>
            </w:r>
            <w:proofErr w:type="gramStart"/>
            <w:r>
              <w:rPr>
                <w:color w:val="000000"/>
                <w:sz w:val="15"/>
                <w:szCs w:val="15"/>
              </w:rPr>
              <w:t>and  cellular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specimens) are collected and tested.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Visual acuity to distinguish colors, shades, and depth perception.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1" w:right="985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Read and comprehend text, num</w:t>
            </w:r>
            <w:r>
              <w:rPr>
                <w:color w:val="000000"/>
                <w:sz w:val="15"/>
                <w:szCs w:val="15"/>
              </w:rPr>
              <w:t xml:space="preserve">bers, and graphs displayed in print and on a video monitor.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Distinguish audible sounds from individuals and equipment.</w:t>
            </w:r>
          </w:p>
        </w:tc>
      </w:tr>
      <w:tr w:rsidR="00EB7474">
        <w:trPr>
          <w:trHeight w:val="1482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8" w:right="570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Motor </w:t>
            </w:r>
            <w:r>
              <w:rPr>
                <w:color w:val="000000"/>
                <w:sz w:val="15"/>
                <w:szCs w:val="15"/>
              </w:rPr>
              <w:t xml:space="preserve">- Sufficient motor ability </w:t>
            </w:r>
            <w:proofErr w:type="gramStart"/>
            <w:r>
              <w:rPr>
                <w:color w:val="000000"/>
                <w:sz w:val="15"/>
                <w:szCs w:val="15"/>
              </w:rPr>
              <w:t>to  execute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the movement and skills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required for safe and effective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performance of duties.</w:t>
            </w: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Move freely and safely about a laboratory or patient care area.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56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Reach laboratory bench tops and shelves, patients in seated or recumbent positions.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Perform moderately taxing continuous physical work, often requiring prolonged sitting or standing, </w:t>
            </w:r>
            <w:proofErr w:type="gramStart"/>
            <w:r>
              <w:rPr>
                <w:color w:val="000000"/>
                <w:sz w:val="15"/>
                <w:szCs w:val="15"/>
              </w:rPr>
              <w:t>over</w:t>
            </w:r>
            <w:r>
              <w:rPr>
                <w:color w:val="000000"/>
                <w:sz w:val="15"/>
                <w:szCs w:val="15"/>
              </w:rPr>
              <w:t xml:space="preserve">  several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hours.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468" w:right="93" w:hanging="356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Possess finger and manual dexterity necessary to safely maneuver a variety of specimen collection </w:t>
            </w:r>
            <w:proofErr w:type="gramStart"/>
            <w:r>
              <w:rPr>
                <w:color w:val="000000"/>
                <w:sz w:val="15"/>
                <w:szCs w:val="15"/>
              </w:rPr>
              <w:t>and  laboratory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equipment.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461" w:right="518" w:hanging="349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Use a computer keyboard to operate laboratory equipment and to calculate, record, evaluate, </w:t>
            </w:r>
            <w:proofErr w:type="gramStart"/>
            <w:r>
              <w:rPr>
                <w:color w:val="000000"/>
                <w:sz w:val="15"/>
                <w:szCs w:val="15"/>
              </w:rPr>
              <w:t>and  transmit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laboratory information.</w:t>
            </w:r>
          </w:p>
        </w:tc>
      </w:tr>
      <w:tr w:rsidR="00EB7474">
        <w:trPr>
          <w:trHeight w:val="1298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Communication </w:t>
            </w:r>
            <w:r>
              <w:rPr>
                <w:color w:val="000000"/>
                <w:sz w:val="15"/>
                <w:szCs w:val="15"/>
              </w:rPr>
              <w:t xml:space="preserve">- Ability to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communicate effectively in English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4" w:right="364" w:firstLine="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using verbal, non-verbal and </w:t>
            </w:r>
            <w:proofErr w:type="gramStart"/>
            <w:r>
              <w:rPr>
                <w:color w:val="000000"/>
                <w:sz w:val="15"/>
                <w:szCs w:val="15"/>
              </w:rPr>
              <w:t>written  formats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with faculty, other students,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483" w:right="142" w:hanging="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clients, families and all members of </w:t>
            </w:r>
            <w:proofErr w:type="gramStart"/>
            <w:r>
              <w:rPr>
                <w:color w:val="000000"/>
                <w:sz w:val="15"/>
                <w:szCs w:val="15"/>
              </w:rPr>
              <w:t>the  healthcare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team.</w:t>
            </w: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8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Read and comprehend technical and professional materials (i.e. textbooks, procedural manuals, etc.).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Follow verbal and written instructions in order to correctly, efficiently, and independently </w:t>
            </w:r>
            <w:proofErr w:type="gramStart"/>
            <w:r>
              <w:rPr>
                <w:color w:val="000000"/>
                <w:sz w:val="15"/>
                <w:szCs w:val="15"/>
              </w:rPr>
              <w:t>perform  specimen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collection and laboratory test procedures.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Clearly instruct patients prior to specimen collection.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Effectively, confidentially, and sensitively converse with patients.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64" w:right="163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Communicate with faculty members, fellow students, staff, and other health care professionals </w:t>
            </w:r>
            <w:proofErr w:type="gramStart"/>
            <w:r>
              <w:rPr>
                <w:color w:val="000000"/>
                <w:sz w:val="15"/>
                <w:szCs w:val="15"/>
              </w:rPr>
              <w:t>verbally  and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in a recorded format (writing, typing, graphics, or telecommunication).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1335" w:type="dxa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5"/>
        <w:gridCol w:w="7920"/>
      </w:tblGrid>
      <w:tr w:rsidR="00EB7474">
        <w:trPr>
          <w:trHeight w:val="423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643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 xml:space="preserve">Essential Function Category </w:t>
            </w:r>
            <w:proofErr w:type="gramStart"/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 xml:space="preserve">&amp;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Definition</w:t>
            </w:r>
            <w:proofErr w:type="gramEnd"/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Examples of Essential Functions and Technical Standards for Laboratory Professionals</w:t>
            </w:r>
          </w:p>
        </w:tc>
      </w:tr>
      <w:tr w:rsidR="00EB7474">
        <w:trPr>
          <w:trHeight w:val="377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EB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8" w:right="652" w:hanging="357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Independently prepare papers and laboratory reports, and take paper, computer, and </w:t>
            </w:r>
            <w:proofErr w:type="gramStart"/>
            <w:r>
              <w:rPr>
                <w:color w:val="000000"/>
                <w:sz w:val="15"/>
                <w:szCs w:val="15"/>
              </w:rPr>
              <w:t>laboratory  practical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examinations.</w:t>
            </w:r>
          </w:p>
        </w:tc>
      </w:tr>
      <w:tr w:rsidR="00EB7474">
        <w:trPr>
          <w:trHeight w:val="746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4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Intellectual </w:t>
            </w:r>
            <w:r>
              <w:rPr>
                <w:color w:val="000000"/>
                <w:sz w:val="15"/>
                <w:szCs w:val="15"/>
              </w:rPr>
              <w:t xml:space="preserve">- Ability to collect, </w:t>
            </w:r>
            <w:proofErr w:type="gramStart"/>
            <w:r>
              <w:rPr>
                <w:color w:val="000000"/>
                <w:sz w:val="15"/>
                <w:szCs w:val="15"/>
              </w:rPr>
              <w:t>interpret  and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integrate information and make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7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decisions.</w:t>
            </w: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1" w:right="197" w:hanging="349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Possess intellectual skills: comprehension, measurement, mathematical calculation, reasoning, </w:t>
            </w:r>
            <w:proofErr w:type="gramStart"/>
            <w:r>
              <w:rPr>
                <w:color w:val="000000"/>
                <w:sz w:val="15"/>
                <w:szCs w:val="15"/>
              </w:rPr>
              <w:t>critical  thinking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, analysis, comparison, self-expression, and constructive criticism.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1" w:lineRule="auto"/>
              <w:ind w:left="111" w:right="105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Be able to exercise sufficient judgment to recognize and correct perfor</w:t>
            </w:r>
            <w:r>
              <w:rPr>
                <w:color w:val="000000"/>
                <w:sz w:val="15"/>
                <w:szCs w:val="15"/>
              </w:rPr>
              <w:t xml:space="preserve">mance deficiencies.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Apply knowledge and creativity to new situations and to problem solving scenarios.</w:t>
            </w:r>
          </w:p>
        </w:tc>
      </w:tr>
      <w:tr w:rsidR="00EB7474">
        <w:trPr>
          <w:trHeight w:val="3873"/>
        </w:trPr>
        <w:tc>
          <w:tcPr>
            <w:tcW w:w="3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3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Behavioral </w:t>
            </w:r>
            <w:r>
              <w:rPr>
                <w:color w:val="000000"/>
                <w:sz w:val="15"/>
                <w:szCs w:val="15"/>
              </w:rPr>
              <w:t xml:space="preserve">- Possess the </w:t>
            </w:r>
            <w:proofErr w:type="gramStart"/>
            <w:r>
              <w:rPr>
                <w:color w:val="000000"/>
                <w:sz w:val="15"/>
                <w:szCs w:val="15"/>
              </w:rPr>
              <w:t>emotional  health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and stability required for full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478" w:right="124" w:firstLine="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utilization of the student’s </w:t>
            </w:r>
            <w:proofErr w:type="gramStart"/>
            <w:r>
              <w:rPr>
                <w:color w:val="000000"/>
                <w:sz w:val="15"/>
                <w:szCs w:val="15"/>
              </w:rPr>
              <w:t>intellectual  abilities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, professional judgment, prompt  completion of all academic and patient  care responsibilities, development of  mature, sensitive, and effective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relationships with faculty, fellow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5" w:right="231" w:firstLine="2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students, clinical instructors, </w:t>
            </w:r>
            <w:proofErr w:type="gramStart"/>
            <w:r>
              <w:rPr>
                <w:color w:val="000000"/>
                <w:sz w:val="15"/>
                <w:szCs w:val="15"/>
              </w:rPr>
              <w:t>patients,  and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other members of the health care  team.</w:t>
            </w:r>
          </w:p>
        </w:tc>
        <w:tc>
          <w:tcPr>
            <w:tcW w:w="7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Manage heavy academic schedules and deadlines.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4" w:right="621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Be able to manage the use of time and complete professional and technical tasks within </w:t>
            </w:r>
            <w:proofErr w:type="gramStart"/>
            <w:r>
              <w:rPr>
                <w:color w:val="000000"/>
                <w:sz w:val="15"/>
                <w:szCs w:val="15"/>
              </w:rPr>
              <w:t>realistic  constraints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.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463" w:right="124" w:hanging="35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Provide professional and technical services under conditions of physical and emotional stress, such as - related uncertainty (i.e. ambiguous test ordering, ambivalent test interpretation), emergent </w:t>
            </w:r>
            <w:proofErr w:type="gramStart"/>
            <w:r>
              <w:rPr>
                <w:color w:val="000000"/>
                <w:sz w:val="15"/>
                <w:szCs w:val="15"/>
              </w:rPr>
              <w:t>demands  (</w:t>
            </w:r>
            <w:proofErr w:type="gramEnd"/>
            <w:r>
              <w:rPr>
                <w:color w:val="000000"/>
                <w:sz w:val="15"/>
                <w:szCs w:val="15"/>
              </w:rPr>
              <w:t>i.e. "stat" test orders), and a distracting envi</w:t>
            </w:r>
            <w:r>
              <w:rPr>
                <w:color w:val="000000"/>
                <w:sz w:val="15"/>
                <w:szCs w:val="15"/>
              </w:rPr>
              <w:t xml:space="preserve">ronment (i.e. high noise levels, crowding, complex visual  stimuli).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Be flexible and adapt to professional and technical change.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8" w:right="341" w:hanging="357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Recognize potentially hazardous materials, equipment, and situations and proceed safely in order </w:t>
            </w:r>
            <w:proofErr w:type="gramStart"/>
            <w:r>
              <w:rPr>
                <w:color w:val="000000"/>
                <w:sz w:val="15"/>
                <w:szCs w:val="15"/>
              </w:rPr>
              <w:t>to  minimize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risk of in</w:t>
            </w:r>
            <w:r>
              <w:rPr>
                <w:color w:val="000000"/>
                <w:sz w:val="15"/>
                <w:szCs w:val="15"/>
              </w:rPr>
              <w:t xml:space="preserve">jury to patients, self, and nearby individuals.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464" w:right="172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Support and promote the activities of fellow students and health care professionals which helps </w:t>
            </w:r>
            <w:proofErr w:type="gramStart"/>
            <w:r>
              <w:rPr>
                <w:color w:val="000000"/>
                <w:sz w:val="15"/>
                <w:szCs w:val="15"/>
              </w:rPr>
              <w:t>furnish  a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team approach to learning, task completion, problem solving, and patient care.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461" w:right="278" w:hanging="349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Be honest, compassionate, ethical and responsible. Accept responsibility and accountability for </w:t>
            </w:r>
            <w:proofErr w:type="gramStart"/>
            <w:r>
              <w:rPr>
                <w:color w:val="000000"/>
                <w:sz w:val="15"/>
                <w:szCs w:val="15"/>
              </w:rPr>
              <w:t>one’s  own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actions. The student must be forthright about errors or uncertainty. The student must be able </w:t>
            </w:r>
            <w:proofErr w:type="gramStart"/>
            <w:r>
              <w:rPr>
                <w:color w:val="000000"/>
                <w:sz w:val="15"/>
                <w:szCs w:val="15"/>
              </w:rPr>
              <w:t>to  critically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evaluate one’s performance, accept const</w:t>
            </w:r>
            <w:r>
              <w:rPr>
                <w:color w:val="000000"/>
                <w:sz w:val="15"/>
                <w:szCs w:val="15"/>
              </w:rPr>
              <w:t xml:space="preserve">ructive criticism, and look for ways to improve  performance (i.e. participate in enriched educational activities). The student must be able to </w:t>
            </w:r>
            <w:proofErr w:type="gramStart"/>
            <w:r>
              <w:rPr>
                <w:color w:val="000000"/>
                <w:sz w:val="15"/>
                <w:szCs w:val="15"/>
              </w:rPr>
              <w:t>evaluate  the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performance of fellow students and tactfully offer constructive comments.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464" w:right="323" w:hanging="352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Works within environ</w:t>
            </w:r>
            <w:r>
              <w:rPr>
                <w:color w:val="000000"/>
                <w:sz w:val="15"/>
                <w:szCs w:val="15"/>
              </w:rPr>
              <w:t>ments of cultural diversity</w:t>
            </w:r>
            <w:r>
              <w:rPr>
                <w:b/>
                <w:color w:val="000000"/>
                <w:sz w:val="15"/>
                <w:szCs w:val="15"/>
              </w:rPr>
              <w:t xml:space="preserve">: </w:t>
            </w:r>
            <w:r>
              <w:rPr>
                <w:color w:val="000000"/>
                <w:sz w:val="15"/>
                <w:szCs w:val="15"/>
              </w:rPr>
              <w:t xml:space="preserve">Works well with a variety of ethnic, gender, social, </w:t>
            </w:r>
            <w:proofErr w:type="gramStart"/>
            <w:r>
              <w:rPr>
                <w:color w:val="000000"/>
                <w:sz w:val="15"/>
                <w:szCs w:val="15"/>
              </w:rPr>
              <w:t>or  educational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backgrounds.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1" w:lineRule="auto"/>
              <w:ind w:left="468" w:right="643" w:hanging="356"/>
              <w:rPr>
                <w:color w:val="000000"/>
                <w:sz w:val="15"/>
                <w:szCs w:val="1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 xml:space="preserve">Exhibit professional behavior by conforming to appropriate standards of dress, appearance, </w:t>
            </w:r>
            <w:proofErr w:type="gramStart"/>
            <w:r>
              <w:rPr>
                <w:color w:val="000000"/>
                <w:sz w:val="15"/>
                <w:szCs w:val="15"/>
              </w:rPr>
              <w:t>and  language</w:t>
            </w:r>
            <w:proofErr w:type="gramEnd"/>
            <w:r>
              <w:rPr>
                <w:color w:val="000000"/>
                <w:sz w:val="15"/>
                <w:szCs w:val="15"/>
              </w:rPr>
              <w:t>.</w:t>
            </w: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74" w:right="513" w:firstLine="7"/>
        <w:rPr>
          <w:color w:val="212529"/>
          <w:sz w:val="18"/>
          <w:szCs w:val="18"/>
          <w:highlight w:val="white"/>
        </w:rPr>
      </w:pPr>
      <w:r>
        <w:rPr>
          <w:color w:val="000000"/>
          <w:sz w:val="18"/>
          <w:szCs w:val="18"/>
        </w:rPr>
        <w:t xml:space="preserve">Qualified applicants with disabilities are encouraged to apply to the program. It is the responsibility of the student to contact the </w:t>
      </w:r>
      <w:proofErr w:type="gramStart"/>
      <w:r>
        <w:rPr>
          <w:color w:val="000000"/>
          <w:sz w:val="18"/>
          <w:szCs w:val="18"/>
        </w:rPr>
        <w:t>Student  Accessibility</w:t>
      </w:r>
      <w:proofErr w:type="gramEnd"/>
      <w:r>
        <w:rPr>
          <w:color w:val="000000"/>
          <w:sz w:val="18"/>
          <w:szCs w:val="18"/>
        </w:rPr>
        <w:t xml:space="preserve"> Services (SAS) if they feel they cannot meet one or more of the technical standards listed. Student</w:t>
      </w:r>
      <w:r>
        <w:rPr>
          <w:color w:val="000000"/>
          <w:sz w:val="18"/>
          <w:szCs w:val="18"/>
        </w:rPr>
        <w:t xml:space="preserve">s can obtain </w:t>
      </w:r>
      <w:proofErr w:type="gramStart"/>
      <w:r>
        <w:rPr>
          <w:color w:val="000000"/>
          <w:sz w:val="18"/>
          <w:szCs w:val="18"/>
        </w:rPr>
        <w:t>complete  information</w:t>
      </w:r>
      <w:proofErr w:type="gramEnd"/>
      <w:r>
        <w:rPr>
          <w:color w:val="000000"/>
          <w:sz w:val="18"/>
          <w:szCs w:val="18"/>
        </w:rPr>
        <w:t xml:space="preserve"> from the S</w:t>
      </w:r>
      <w:r>
        <w:rPr>
          <w:sz w:val="18"/>
          <w:szCs w:val="18"/>
        </w:rPr>
        <w:t xml:space="preserve">USLA </w:t>
      </w:r>
      <w:r>
        <w:rPr>
          <w:color w:val="000000"/>
          <w:sz w:val="18"/>
          <w:szCs w:val="18"/>
        </w:rPr>
        <w:t>website at http.</w:t>
      </w:r>
      <w:r>
        <w:rPr>
          <w:b/>
          <w:color w:val="000000"/>
          <w:sz w:val="18"/>
          <w:szCs w:val="18"/>
        </w:rPr>
        <w:t>www.susla.edu/page/disability-support-services</w:t>
      </w:r>
      <w:r>
        <w:rPr>
          <w:color w:val="000000"/>
          <w:sz w:val="18"/>
          <w:szCs w:val="18"/>
        </w:rPr>
        <w:t xml:space="preserve"> or through the  </w:t>
      </w:r>
      <w:r>
        <w:rPr>
          <w:color w:val="212529"/>
          <w:sz w:val="18"/>
          <w:szCs w:val="18"/>
          <w:highlight w:val="white"/>
        </w:rPr>
        <w:t>Anjelica Hart, EdD</w:t>
      </w:r>
    </w:p>
    <w:p w:rsidR="00EB7474" w:rsidRDefault="00B1514E">
      <w:pPr>
        <w:widowControl w:val="0"/>
        <w:spacing w:line="229" w:lineRule="auto"/>
        <w:ind w:left="174" w:right="513" w:firstLine="7"/>
        <w:rPr>
          <w:color w:val="000000"/>
          <w:sz w:val="18"/>
          <w:szCs w:val="18"/>
        </w:rPr>
      </w:pPr>
      <w:r>
        <w:rPr>
          <w:color w:val="212529"/>
          <w:sz w:val="20"/>
          <w:szCs w:val="20"/>
          <w:highlight w:val="white"/>
        </w:rPr>
        <w:t xml:space="preserve">Disability Services Coordinator </w:t>
      </w:r>
      <w:r>
        <w:rPr>
          <w:color w:val="212529"/>
          <w:sz w:val="19"/>
          <w:szCs w:val="19"/>
          <w:highlight w:val="white"/>
        </w:rPr>
        <w:t xml:space="preserve">New Classroom Building (NCR), Office 125 Phone: 318.670.9367 </w:t>
      </w:r>
      <w:hyperlink r:id="rId4">
        <w:r>
          <w:rPr>
            <w:color w:val="1155CC"/>
            <w:sz w:val="23"/>
            <w:szCs w:val="23"/>
            <w:highlight w:val="white"/>
            <w:u w:val="single"/>
          </w:rPr>
          <w:t>ahart@susla.edu</w:t>
        </w:r>
      </w:hyperlink>
      <w:r>
        <w:rPr>
          <w:color w:val="61AEE1"/>
          <w:sz w:val="23"/>
          <w:szCs w:val="23"/>
          <w:highlight w:val="white"/>
        </w:rPr>
        <w:t xml:space="preserve"> </w:t>
      </w:r>
      <w:r>
        <w:rPr>
          <w:color w:val="000000"/>
          <w:sz w:val="18"/>
          <w:szCs w:val="18"/>
        </w:rPr>
        <w:t>office on the MLK JR campus.</w:t>
      </w: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 w:line="240" w:lineRule="auto"/>
        <w:ind w:left="18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Explain: </w:t>
      </w:r>
    </w:p>
    <w:tbl>
      <w:tblPr>
        <w:tblStyle w:val="a5"/>
        <w:tblW w:w="11047" w:type="dxa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7"/>
        <w:gridCol w:w="2120"/>
        <w:gridCol w:w="5220"/>
      </w:tblGrid>
      <w:tr w:rsidR="00EB7474">
        <w:trPr>
          <w:trHeight w:val="510"/>
        </w:trPr>
        <w:tc>
          <w:tcPr>
            <w:tcW w:w="5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2" w:right="1027"/>
              <w:rPr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lastRenderedPageBreak/>
              <w:t xml:space="preserve">Physician, Physician’s Assistant or Nurse </w:t>
            </w:r>
            <w:proofErr w:type="gramStart"/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 xml:space="preserve">Practitioner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Information</w:t>
            </w:r>
            <w:proofErr w:type="gramEnd"/>
            <w:r>
              <w:rPr>
                <w:b/>
                <w:color w:val="000000"/>
                <w:sz w:val="18"/>
                <w:szCs w:val="18"/>
                <w:shd w:val="clear" w:color="auto" w:fill="D9D9D9"/>
              </w:rPr>
              <w:t>:</w:t>
            </w:r>
          </w:p>
        </w:tc>
        <w:tc>
          <w:tcPr>
            <w:tcW w:w="5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FACILITY STAMP</w:t>
            </w:r>
          </w:p>
        </w:tc>
      </w:tr>
      <w:tr w:rsidR="00EB7474">
        <w:trPr>
          <w:trHeight w:val="520"/>
        </w:trPr>
        <w:tc>
          <w:tcPr>
            <w:tcW w:w="5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Printed Name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EB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B7474">
        <w:trPr>
          <w:trHeight w:val="465"/>
        </w:trPr>
        <w:tc>
          <w:tcPr>
            <w:tcW w:w="58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EB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B7474">
        <w:trPr>
          <w:trHeight w:val="542"/>
        </w:trPr>
        <w:tc>
          <w:tcPr>
            <w:tcW w:w="3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Signature  </w:t>
            </w:r>
          </w:p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Credentials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B1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474" w:rsidRDefault="00EB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EB74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7474" w:rsidRDefault="00B15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b/>
          <w:color w:val="000000"/>
          <w:sz w:val="15"/>
          <w:szCs w:val="15"/>
        </w:rPr>
      </w:pPr>
      <w:r>
        <w:rPr>
          <w:rFonts w:ascii="Georgia" w:eastAsia="Georgia" w:hAnsi="Georgia" w:cs="Georgia"/>
          <w:b/>
          <w:color w:val="000000"/>
          <w:sz w:val="15"/>
          <w:szCs w:val="15"/>
        </w:rPr>
        <w:t>REVISED 8-3-2024</w:t>
      </w:r>
    </w:p>
    <w:sectPr w:rsidR="00EB7474">
      <w:pgSz w:w="12240" w:h="15840"/>
      <w:pgMar w:top="215" w:right="382" w:bottom="370" w:left="25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74"/>
    <w:rsid w:val="00B1514E"/>
    <w:rsid w:val="00E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B14E"/>
  <w15:docId w15:val="{94B35ECC-218F-49D1-A972-DAA3025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151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rt@sus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Brown</dc:creator>
  <cp:lastModifiedBy>Patricia Brown</cp:lastModifiedBy>
  <cp:revision>2</cp:revision>
  <dcterms:created xsi:type="dcterms:W3CDTF">2024-08-08T21:28:00Z</dcterms:created>
  <dcterms:modified xsi:type="dcterms:W3CDTF">2024-08-08T21:28:00Z</dcterms:modified>
</cp:coreProperties>
</file>